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FF" w:rsidRPr="006E51FF" w:rsidRDefault="006E51FF" w:rsidP="006E51FF">
      <w:pPr>
        <w:jc w:val="center"/>
        <w:rPr>
          <w:rFonts w:ascii="Times New Roman" w:hAnsi="Times New Roman" w:cs="Times New Roman"/>
          <w:b/>
          <w:sz w:val="28"/>
          <w:szCs w:val="28"/>
        </w:rPr>
      </w:pPr>
      <w:r w:rsidRPr="006E51FF">
        <w:rPr>
          <w:rFonts w:ascii="Times New Roman" w:hAnsi="Times New Roman" w:cs="Times New Roman"/>
          <w:b/>
          <w:sz w:val="28"/>
          <w:szCs w:val="28"/>
        </w:rPr>
        <w:t>Сведения о размере и порядке уплаты государственной пошлины по категориям дел, подлежащих рассмотрению в суде</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 xml:space="preserve">Порядок и условия </w:t>
      </w:r>
      <w:proofErr w:type="gramStart"/>
      <w:r w:rsidRPr="006E51FF">
        <w:rPr>
          <w:rFonts w:ascii="Times New Roman" w:hAnsi="Times New Roman" w:cs="Times New Roman"/>
          <w:sz w:val="28"/>
          <w:szCs w:val="28"/>
        </w:rPr>
        <w:t>уплаты государственной пошлины, взимаемой с юридических и физических лиц при их обращении в судебные органы регулируется</w:t>
      </w:r>
      <w:proofErr w:type="gramEnd"/>
      <w:r w:rsidRPr="006E51FF">
        <w:rPr>
          <w:rFonts w:ascii="Times New Roman" w:hAnsi="Times New Roman" w:cs="Times New Roman"/>
          <w:sz w:val="28"/>
          <w:szCs w:val="28"/>
        </w:rPr>
        <w:t xml:space="preserve"> Налоговым кодексом Российской Федерации</w:t>
      </w:r>
    </w:p>
    <w:p w:rsidR="006E51FF" w:rsidRPr="006E51FF" w:rsidRDefault="006E51FF" w:rsidP="006E51FF">
      <w:pPr>
        <w:jc w:val="both"/>
        <w:rPr>
          <w:rFonts w:ascii="Times New Roman" w:hAnsi="Times New Roman" w:cs="Times New Roman"/>
          <w:color w:val="000000"/>
          <w:sz w:val="28"/>
          <w:szCs w:val="28"/>
        </w:rPr>
      </w:pPr>
      <w:r w:rsidRPr="006E51FF">
        <w:rPr>
          <w:rFonts w:ascii="Times New Roman" w:hAnsi="Times New Roman" w:cs="Times New Roman"/>
          <w:sz w:val="28"/>
          <w:szCs w:val="28"/>
        </w:rPr>
        <w:t xml:space="preserve"> Статья 333.19. Размеры государственной пошлины </w:t>
      </w:r>
      <w:r>
        <w:rPr>
          <w:rFonts w:ascii="Times New Roman" w:hAnsi="Times New Roman" w:cs="Times New Roman"/>
          <w:sz w:val="28"/>
          <w:szCs w:val="28"/>
        </w:rPr>
        <w:t>п</w:t>
      </w:r>
      <w:r w:rsidRPr="006E51FF">
        <w:rPr>
          <w:rFonts w:ascii="Times New Roman" w:hAnsi="Times New Roman" w:cs="Times New Roman"/>
          <w:color w:val="000000"/>
          <w:sz w:val="28"/>
          <w:szCs w:val="28"/>
        </w:rPr>
        <w:t>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государственная пошлина уплачивается в следующих размерах:</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1) при подаче искового заявления имущественного характера, административного искового заявления имущественного характера, подлежащих оценке, при цене иска:</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до 100 000 рублей - 4000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от 100 001 рубля до 300 000 рублей - 4000 рублей плюс 3 процента суммы, превышающей 100 000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от 300 001 рубля до 500 000 рублей - 10 000 рублей плюс 2,5 процента суммы, превышающей 300 000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от 500 001 рубля до 1 000 000 рублей - 15 000 рублей плюс 2 процента суммы, превышающей 500 000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от 1 000 001 рубля до 3 000 000 рублей - 25 000 рублей плюс 1 процент суммы, превышающей 1 000 000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от 3 000 001 рубля до 8 000 000 рублей - 45 000 рублей плюс 0,7 процента суммы, превышающей 3 000 000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от 8 000 001 рубля до 24 000 000 рублей - 80 000 рублей плюс 0,35 процента суммы, превышающей 8 000 000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от 24 000 001 рубля до 50 000 000 рублей - 136 000 рублей плюс 0,3 процента суммы, превышающей 24 000 000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от 50 000 001 рубля до 100 000 000 рублей - 214 000 рублей плюс 0,2 процента суммы, превышающей 50 000 000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свыше 100 000 000 рублей - 314 000 рублей плюс 0,15 процента суммы, превышающей 100 000 000 рублей, но не более 900 000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lastRenderedPageBreak/>
        <w:t>2) при подаче заявления о вынесении судебного приказа - 50 процентов размера государственной пошлины, взимаемой при подаче искового заявления имущественного характера;</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3) при подаче искового заявления имущественного характера, не подлежащего оценке, искового заявления неимущественного характера:</w:t>
      </w:r>
    </w:p>
    <w:p w:rsidR="006E51FF" w:rsidRPr="006E51FF" w:rsidRDefault="006E51FF" w:rsidP="006E51FF">
      <w:pPr>
        <w:jc w:val="both"/>
        <w:rPr>
          <w:rFonts w:ascii="Times New Roman" w:hAnsi="Times New Roman" w:cs="Times New Roman"/>
          <w:sz w:val="28"/>
          <w:szCs w:val="28"/>
        </w:rPr>
      </w:pPr>
      <w:r>
        <w:rPr>
          <w:rFonts w:ascii="Times New Roman" w:hAnsi="Times New Roman" w:cs="Times New Roman"/>
          <w:sz w:val="28"/>
          <w:szCs w:val="28"/>
        </w:rPr>
        <w:t xml:space="preserve">         </w:t>
      </w:r>
      <w:r w:rsidRPr="006E51FF">
        <w:rPr>
          <w:rFonts w:ascii="Times New Roman" w:hAnsi="Times New Roman" w:cs="Times New Roman"/>
          <w:sz w:val="28"/>
          <w:szCs w:val="28"/>
        </w:rPr>
        <w:t>для физических лиц - 3000 рублей;</w:t>
      </w:r>
    </w:p>
    <w:p w:rsidR="006E51FF" w:rsidRPr="006E51FF" w:rsidRDefault="006E51FF" w:rsidP="006E51FF">
      <w:pPr>
        <w:jc w:val="both"/>
        <w:rPr>
          <w:rFonts w:ascii="Times New Roman" w:hAnsi="Times New Roman" w:cs="Times New Roman"/>
          <w:sz w:val="28"/>
          <w:szCs w:val="28"/>
        </w:rPr>
      </w:pPr>
      <w:r>
        <w:rPr>
          <w:rFonts w:ascii="Times New Roman" w:hAnsi="Times New Roman" w:cs="Times New Roman"/>
          <w:sz w:val="28"/>
          <w:szCs w:val="28"/>
        </w:rPr>
        <w:t xml:space="preserve">         </w:t>
      </w:r>
      <w:r w:rsidRPr="006E51FF">
        <w:rPr>
          <w:rFonts w:ascii="Times New Roman" w:hAnsi="Times New Roman" w:cs="Times New Roman"/>
          <w:sz w:val="28"/>
          <w:szCs w:val="28"/>
        </w:rPr>
        <w:t>для организаций - 20 000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 xml:space="preserve">4) при подаче искового заявления по спорам, возникающим при заключении, изменении или расторжении договоров, не содержащего требования о возврате исполненного по сделке или о присуждении имущества, а также искового заявления по спорам о признании сделок </w:t>
      </w:r>
      <w:proofErr w:type="gramStart"/>
      <w:r w:rsidRPr="006E51FF">
        <w:rPr>
          <w:rFonts w:ascii="Times New Roman" w:hAnsi="Times New Roman" w:cs="Times New Roman"/>
          <w:sz w:val="28"/>
          <w:szCs w:val="28"/>
        </w:rPr>
        <w:t>недействительными</w:t>
      </w:r>
      <w:proofErr w:type="gramEnd"/>
      <w:r w:rsidRPr="006E51FF">
        <w:rPr>
          <w:rFonts w:ascii="Times New Roman" w:hAnsi="Times New Roman" w:cs="Times New Roman"/>
          <w:sz w:val="28"/>
          <w:szCs w:val="28"/>
        </w:rPr>
        <w:t>, не содержащего требования о применении последствий недействительности сделок:</w:t>
      </w:r>
      <w:bookmarkStart w:id="0" w:name="_GoBack"/>
      <w:bookmarkEnd w:id="0"/>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физических лиц - 3000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организаций - 20 000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5) при подаче искового заявления о расторжении брака - 5000 рублей;</w:t>
      </w:r>
    </w:p>
    <w:p w:rsidR="006E51FF" w:rsidRPr="006E51FF" w:rsidRDefault="006E51FF" w:rsidP="006E51FF">
      <w:pPr>
        <w:jc w:val="both"/>
        <w:rPr>
          <w:rFonts w:ascii="Times New Roman" w:hAnsi="Times New Roman" w:cs="Times New Roman"/>
          <w:sz w:val="28"/>
          <w:szCs w:val="28"/>
        </w:rPr>
      </w:pPr>
      <w:proofErr w:type="gramStart"/>
      <w:r w:rsidRPr="006E51FF">
        <w:rPr>
          <w:rFonts w:ascii="Times New Roman" w:hAnsi="Times New Roman" w:cs="Times New Roman"/>
          <w:sz w:val="28"/>
          <w:szCs w:val="28"/>
        </w:rPr>
        <w:t>6)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органов публичной власти федеральной территории "Сириус", государственных корпораций, должностных лиц, при подаче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w:t>
      </w:r>
      <w:proofErr w:type="gramEnd"/>
      <w:r w:rsidRPr="006E51FF">
        <w:rPr>
          <w:rFonts w:ascii="Times New Roman" w:hAnsi="Times New Roman" w:cs="Times New Roman"/>
          <w:sz w:val="28"/>
          <w:szCs w:val="28"/>
        </w:rPr>
        <w:t xml:space="preserve"> Собрания Российской Федерации, Правительства Российской Федерации, Правительственной комиссии по </w:t>
      </w:r>
      <w:proofErr w:type="gramStart"/>
      <w:r w:rsidRPr="006E51FF">
        <w:rPr>
          <w:rFonts w:ascii="Times New Roman" w:hAnsi="Times New Roman" w:cs="Times New Roman"/>
          <w:sz w:val="28"/>
          <w:szCs w:val="28"/>
        </w:rPr>
        <w:t>контролю за</w:t>
      </w:r>
      <w:proofErr w:type="gramEnd"/>
      <w:r w:rsidRPr="006E51FF">
        <w:rPr>
          <w:rFonts w:ascii="Times New Roman" w:hAnsi="Times New Roman" w:cs="Times New Roman"/>
          <w:sz w:val="28"/>
          <w:szCs w:val="28"/>
        </w:rPr>
        <w:t xml:space="preserve"> осуществлением иностранных инвестиций в Российской Федерации, а также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физических лиц - 4000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lastRenderedPageBreak/>
        <w:t>для организаций - 20 000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 xml:space="preserve">7) при подаче административного искового заявления о признании ненормативного правового акта </w:t>
      </w:r>
      <w:proofErr w:type="gramStart"/>
      <w:r w:rsidRPr="006E51FF">
        <w:rPr>
          <w:rFonts w:ascii="Times New Roman" w:hAnsi="Times New Roman" w:cs="Times New Roman"/>
          <w:sz w:val="28"/>
          <w:szCs w:val="28"/>
        </w:rPr>
        <w:t>недействительным</w:t>
      </w:r>
      <w:proofErr w:type="gramEnd"/>
      <w:r w:rsidRPr="006E51FF">
        <w:rPr>
          <w:rFonts w:ascii="Times New Roman" w:hAnsi="Times New Roman" w:cs="Times New Roman"/>
          <w:sz w:val="28"/>
          <w:szCs w:val="28"/>
        </w:rPr>
        <w:t xml:space="preserve"> и о признании решений и действий (бездействия) государственных органов, органов местного самоуправления, иных органов, должностных лиц незаконными:</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для физических лиц - 3000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для организаций - 15 000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8) при подаче заявления по делам особого производства - 3000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9) при подаче заявления о правопреемстве, кроме случаев универсального правопреемства:</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физических лиц - 2000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организаций - 15 000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10) при подаче заявления о выдаче исполнительных листов на принудительное исполнение решений третейского суда, заявлений о признании и об исполнении решения иностранного суда, иностранных третейских судов (арбитражей) - в размере 30 процентов государственной пошлины, исчисленной по правилам </w:t>
      </w:r>
      <w:hyperlink r:id="rId6" w:anchor="dst26562" w:history="1">
        <w:r w:rsidRPr="006E51FF">
          <w:rPr>
            <w:rStyle w:val="a5"/>
            <w:rFonts w:ascii="Times New Roman" w:hAnsi="Times New Roman" w:cs="Times New Roman"/>
            <w:color w:val="1A0DAB"/>
            <w:sz w:val="28"/>
            <w:szCs w:val="28"/>
          </w:rPr>
          <w:t>подпункта 1</w:t>
        </w:r>
      </w:hyperlink>
      <w:r w:rsidRPr="006E51FF">
        <w:rPr>
          <w:rFonts w:ascii="Times New Roman" w:hAnsi="Times New Roman" w:cs="Times New Roman"/>
          <w:sz w:val="28"/>
          <w:szCs w:val="28"/>
        </w:rPr>
        <w:t> настоящего пункта, исходя из суммы, подтвержденной соответствующим решением;</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11) при подаче заявления об отмене решения третейского суда - в размере государственной пошлины, исчисленной по правилам </w:t>
      </w:r>
      <w:hyperlink r:id="rId7" w:anchor="dst26562" w:history="1">
        <w:r w:rsidRPr="006E51FF">
          <w:rPr>
            <w:rStyle w:val="a5"/>
            <w:rFonts w:ascii="Times New Roman" w:hAnsi="Times New Roman" w:cs="Times New Roman"/>
            <w:color w:val="1A0DAB"/>
            <w:sz w:val="28"/>
            <w:szCs w:val="28"/>
          </w:rPr>
          <w:t>подпункта 1</w:t>
        </w:r>
      </w:hyperlink>
      <w:r w:rsidRPr="006E51FF">
        <w:rPr>
          <w:rFonts w:ascii="Times New Roman" w:hAnsi="Times New Roman" w:cs="Times New Roman"/>
          <w:sz w:val="28"/>
          <w:szCs w:val="28"/>
        </w:rPr>
        <w:t> настоящего пункта, исходя из оспариваемой заявителем суммы;</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12) при подаче заявления о выдаче дубликата исполнительного листа, о пересмотре заочного решения судом, вынесшим это решение, - 1500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13) при подаче заявления о восстановлении пропущенного срока для предъявления исполнительного листа к исполнению, об отсрочке или рассрочке исполнения судебного постановления, изменении способа и порядка его исполнения, о повороте исполнения судебного постановления, о разъяснении судебного постановления - 3000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14) при подаче заявления о пересмотре судебных постановлений по новым или вновь открывшимся обстоятельствам - 10 000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 xml:space="preserve">15) при подаче заявления об обеспечении иска, в том числе иска, рассматриваемого в третейском суде, о замене обеспечительной меры, об отмене обеспечения (за исключением заявлений о принятии </w:t>
      </w:r>
      <w:r w:rsidRPr="006E51FF">
        <w:rPr>
          <w:rFonts w:ascii="Times New Roman" w:hAnsi="Times New Roman" w:cs="Times New Roman"/>
          <w:sz w:val="28"/>
          <w:szCs w:val="28"/>
        </w:rPr>
        <w:lastRenderedPageBreak/>
        <w:t>предварительных обеспечительных мер защиты авторских и (или) смежных прав в информационно-телекоммуникационных сетях, в том числе в сети "Интернет") - 10 000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 xml:space="preserve">16) при подаче заявления по делам о взыскании алиментов - 150 рублей. Если судом выносится решение о взыскании </w:t>
      </w:r>
      <w:proofErr w:type="gramStart"/>
      <w:r w:rsidRPr="006E51FF">
        <w:rPr>
          <w:rFonts w:ascii="Times New Roman" w:hAnsi="Times New Roman" w:cs="Times New Roman"/>
          <w:sz w:val="28"/>
          <w:szCs w:val="28"/>
        </w:rPr>
        <w:t>алиментов</w:t>
      </w:r>
      <w:proofErr w:type="gramEnd"/>
      <w:r w:rsidRPr="006E51FF">
        <w:rPr>
          <w:rFonts w:ascii="Times New Roman" w:hAnsi="Times New Roman" w:cs="Times New Roman"/>
          <w:sz w:val="28"/>
          <w:szCs w:val="28"/>
        </w:rPr>
        <w:t xml:space="preserve"> как на содержание детей, так и на содержание истца, размер государственной пошлины увеличивается в два раза;</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17)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физических лиц - 300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организаций - 6000 рублей;</w:t>
      </w:r>
    </w:p>
    <w:p w:rsidR="006E51FF" w:rsidRPr="006E51FF" w:rsidRDefault="006E51FF" w:rsidP="006E51FF">
      <w:pPr>
        <w:pStyle w:val="a3"/>
        <w:shd w:val="clear" w:color="auto" w:fill="FFFFFF"/>
        <w:spacing w:before="210" w:beforeAutospacing="0" w:after="0" w:afterAutospacing="0"/>
        <w:jc w:val="both"/>
        <w:rPr>
          <w:color w:val="000000"/>
          <w:sz w:val="28"/>
          <w:szCs w:val="28"/>
        </w:rPr>
      </w:pPr>
      <w:r w:rsidRPr="006E51FF">
        <w:rPr>
          <w:color w:val="000000"/>
          <w:sz w:val="28"/>
          <w:szCs w:val="28"/>
        </w:rPr>
        <w:t>18)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 - 300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19) при подаче апелляционной жалобы, частной жалобы, а также при подаче кассационной жалобы на судебный приказ:</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физических лиц - 3000 рублей;</w:t>
      </w:r>
    </w:p>
    <w:p w:rsidR="006E51FF" w:rsidRPr="006E51FF" w:rsidRDefault="006E51FF" w:rsidP="006E51FF">
      <w:pPr>
        <w:jc w:val="both"/>
        <w:rPr>
          <w:rFonts w:ascii="Times New Roman" w:hAnsi="Times New Roman" w:cs="Times New Roman"/>
          <w:sz w:val="28"/>
          <w:szCs w:val="28"/>
        </w:rPr>
      </w:pPr>
      <w:r>
        <w:rPr>
          <w:rFonts w:ascii="Times New Roman" w:hAnsi="Times New Roman" w:cs="Times New Roman"/>
          <w:sz w:val="28"/>
          <w:szCs w:val="28"/>
        </w:rPr>
        <w:t xml:space="preserve">       </w:t>
      </w:r>
      <w:r w:rsidRPr="006E51FF">
        <w:rPr>
          <w:rFonts w:ascii="Times New Roman" w:hAnsi="Times New Roman" w:cs="Times New Roman"/>
          <w:sz w:val="28"/>
          <w:szCs w:val="28"/>
        </w:rPr>
        <w:t>для организаций - 15 000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20) при подаче кассационной жалобы:</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физических лиц - 5000 рублей;</w:t>
      </w:r>
    </w:p>
    <w:p w:rsidR="006E51FF" w:rsidRPr="006E51FF" w:rsidRDefault="006E51FF" w:rsidP="006E51FF">
      <w:pPr>
        <w:jc w:val="both"/>
        <w:rPr>
          <w:rFonts w:ascii="Times New Roman" w:hAnsi="Times New Roman" w:cs="Times New Roman"/>
          <w:sz w:val="28"/>
          <w:szCs w:val="28"/>
        </w:rPr>
      </w:pPr>
      <w:r>
        <w:rPr>
          <w:rFonts w:ascii="Times New Roman" w:hAnsi="Times New Roman" w:cs="Times New Roman"/>
          <w:sz w:val="28"/>
          <w:szCs w:val="28"/>
        </w:rPr>
        <w:t xml:space="preserve">       </w:t>
      </w:r>
      <w:r w:rsidRPr="006E51FF">
        <w:rPr>
          <w:rFonts w:ascii="Times New Roman" w:hAnsi="Times New Roman" w:cs="Times New Roman"/>
          <w:sz w:val="28"/>
          <w:szCs w:val="28"/>
        </w:rPr>
        <w:t>для организаций - 20 000 рублей;</w:t>
      </w:r>
    </w:p>
    <w:p w:rsidR="006E51FF" w:rsidRPr="006E51FF" w:rsidRDefault="006E51FF" w:rsidP="006E51FF">
      <w:pPr>
        <w:jc w:val="both"/>
        <w:rPr>
          <w:rFonts w:ascii="Times New Roman" w:hAnsi="Times New Roman" w:cs="Times New Roman"/>
          <w:sz w:val="28"/>
          <w:szCs w:val="28"/>
        </w:rPr>
      </w:pPr>
      <w:r w:rsidRPr="006E51FF">
        <w:rPr>
          <w:rFonts w:ascii="Times New Roman" w:hAnsi="Times New Roman" w:cs="Times New Roman"/>
          <w:sz w:val="28"/>
          <w:szCs w:val="28"/>
        </w:rPr>
        <w:t>21) при подаче кассационной или надзорной жалобы в Верховный Суд Российской Федерации, а также жалобы на определение судьи Верховного Суда Российской Федерации об отказе в передаче кассационной или надзорной жалобы для рассмотрения в судебном заседании:</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физических лиц - 7000 рублей;</w:t>
      </w:r>
    </w:p>
    <w:p w:rsidR="006E51FF" w:rsidRPr="006E51FF" w:rsidRDefault="006E51FF" w:rsidP="006E51FF">
      <w:pPr>
        <w:pStyle w:val="a3"/>
        <w:shd w:val="clear" w:color="auto" w:fill="FFFFFF"/>
        <w:spacing w:before="210" w:beforeAutospacing="0" w:after="0" w:afterAutospacing="0"/>
        <w:ind w:firstLine="540"/>
        <w:jc w:val="both"/>
        <w:rPr>
          <w:color w:val="000000"/>
          <w:sz w:val="28"/>
          <w:szCs w:val="28"/>
        </w:rPr>
      </w:pPr>
      <w:r w:rsidRPr="006E51FF">
        <w:rPr>
          <w:color w:val="000000"/>
          <w:sz w:val="28"/>
          <w:szCs w:val="28"/>
        </w:rPr>
        <w:t>для организаций - 25 000 рублей.</w:t>
      </w:r>
    </w:p>
    <w:p w:rsidR="006E51FF" w:rsidRPr="006E51FF" w:rsidRDefault="006E51FF" w:rsidP="006E51FF">
      <w:pPr>
        <w:jc w:val="both"/>
        <w:rPr>
          <w:rFonts w:ascii="Times New Roman" w:hAnsi="Times New Roman" w:cs="Times New Roman"/>
          <w:sz w:val="28"/>
          <w:szCs w:val="28"/>
        </w:rPr>
      </w:pPr>
    </w:p>
    <w:sectPr w:rsidR="006E51FF" w:rsidRPr="006E51FF" w:rsidSect="009B4B95">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5221"/>
    <w:multiLevelType w:val="multilevel"/>
    <w:tmpl w:val="20A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92"/>
    <w:rsid w:val="00345E92"/>
    <w:rsid w:val="005F49E1"/>
    <w:rsid w:val="006B38F1"/>
    <w:rsid w:val="006E51FF"/>
    <w:rsid w:val="00733FE5"/>
    <w:rsid w:val="009B4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49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49E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4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background">
    <w:name w:val="has-background"/>
    <w:basedOn w:val="a"/>
    <w:rsid w:val="005F4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jx-char">
    <w:name w:val="mjx-char"/>
    <w:basedOn w:val="a0"/>
    <w:rsid w:val="005F49E1"/>
  </w:style>
  <w:style w:type="character" w:customStyle="1" w:styleId="mjx-charbox">
    <w:name w:val="mjx-charbox"/>
    <w:basedOn w:val="a0"/>
    <w:rsid w:val="005F49E1"/>
  </w:style>
  <w:style w:type="character" w:customStyle="1" w:styleId="mjxassistivemathml">
    <w:name w:val="mjx_assistive_mathml"/>
    <w:basedOn w:val="a0"/>
    <w:rsid w:val="005F49E1"/>
  </w:style>
  <w:style w:type="paragraph" w:customStyle="1" w:styleId="futurismarkdown-paragraph">
    <w:name w:val="futurismarkdown-paragraph"/>
    <w:basedOn w:val="a"/>
    <w:rsid w:val="005F4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49E1"/>
    <w:rPr>
      <w:b/>
      <w:bCs/>
    </w:rPr>
  </w:style>
  <w:style w:type="character" w:styleId="a5">
    <w:name w:val="Hyperlink"/>
    <w:basedOn w:val="a0"/>
    <w:uiPriority w:val="99"/>
    <w:semiHidden/>
    <w:unhideWhenUsed/>
    <w:rsid w:val="005F49E1"/>
    <w:rPr>
      <w:color w:val="0000FF"/>
      <w:u w:val="single"/>
    </w:rPr>
  </w:style>
  <w:style w:type="character" w:styleId="a6">
    <w:name w:val="Emphasis"/>
    <w:basedOn w:val="a0"/>
    <w:uiPriority w:val="20"/>
    <w:qFormat/>
    <w:rsid w:val="00733FE5"/>
    <w:rPr>
      <w:i/>
      <w:iCs/>
    </w:rPr>
  </w:style>
  <w:style w:type="paragraph" w:styleId="a7">
    <w:name w:val="Balloon Text"/>
    <w:basedOn w:val="a"/>
    <w:link w:val="a8"/>
    <w:uiPriority w:val="99"/>
    <w:semiHidden/>
    <w:unhideWhenUsed/>
    <w:rsid w:val="00733F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3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49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49E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F4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background">
    <w:name w:val="has-background"/>
    <w:basedOn w:val="a"/>
    <w:rsid w:val="005F4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jx-char">
    <w:name w:val="mjx-char"/>
    <w:basedOn w:val="a0"/>
    <w:rsid w:val="005F49E1"/>
  </w:style>
  <w:style w:type="character" w:customStyle="1" w:styleId="mjx-charbox">
    <w:name w:val="mjx-charbox"/>
    <w:basedOn w:val="a0"/>
    <w:rsid w:val="005F49E1"/>
  </w:style>
  <w:style w:type="character" w:customStyle="1" w:styleId="mjxassistivemathml">
    <w:name w:val="mjx_assistive_mathml"/>
    <w:basedOn w:val="a0"/>
    <w:rsid w:val="005F49E1"/>
  </w:style>
  <w:style w:type="paragraph" w:customStyle="1" w:styleId="futurismarkdown-paragraph">
    <w:name w:val="futurismarkdown-paragraph"/>
    <w:basedOn w:val="a"/>
    <w:rsid w:val="005F4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49E1"/>
    <w:rPr>
      <w:b/>
      <w:bCs/>
    </w:rPr>
  </w:style>
  <w:style w:type="character" w:styleId="a5">
    <w:name w:val="Hyperlink"/>
    <w:basedOn w:val="a0"/>
    <w:uiPriority w:val="99"/>
    <w:semiHidden/>
    <w:unhideWhenUsed/>
    <w:rsid w:val="005F49E1"/>
    <w:rPr>
      <w:color w:val="0000FF"/>
      <w:u w:val="single"/>
    </w:rPr>
  </w:style>
  <w:style w:type="character" w:styleId="a6">
    <w:name w:val="Emphasis"/>
    <w:basedOn w:val="a0"/>
    <w:uiPriority w:val="20"/>
    <w:qFormat/>
    <w:rsid w:val="00733FE5"/>
    <w:rPr>
      <w:i/>
      <w:iCs/>
    </w:rPr>
  </w:style>
  <w:style w:type="paragraph" w:styleId="a7">
    <w:name w:val="Balloon Text"/>
    <w:basedOn w:val="a"/>
    <w:link w:val="a8"/>
    <w:uiPriority w:val="99"/>
    <w:semiHidden/>
    <w:unhideWhenUsed/>
    <w:rsid w:val="00733F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3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7236">
      <w:bodyDiv w:val="1"/>
      <w:marLeft w:val="0"/>
      <w:marRight w:val="0"/>
      <w:marTop w:val="0"/>
      <w:marBottom w:val="0"/>
      <w:divBdr>
        <w:top w:val="none" w:sz="0" w:space="0" w:color="auto"/>
        <w:left w:val="none" w:sz="0" w:space="0" w:color="auto"/>
        <w:bottom w:val="none" w:sz="0" w:space="0" w:color="auto"/>
        <w:right w:val="none" w:sz="0" w:space="0" w:color="auto"/>
      </w:divBdr>
    </w:div>
    <w:div w:id="719061393">
      <w:bodyDiv w:val="1"/>
      <w:marLeft w:val="0"/>
      <w:marRight w:val="0"/>
      <w:marTop w:val="0"/>
      <w:marBottom w:val="0"/>
      <w:divBdr>
        <w:top w:val="none" w:sz="0" w:space="0" w:color="auto"/>
        <w:left w:val="none" w:sz="0" w:space="0" w:color="auto"/>
        <w:bottom w:val="none" w:sz="0" w:space="0" w:color="auto"/>
        <w:right w:val="none" w:sz="0" w:space="0" w:color="auto"/>
      </w:divBdr>
    </w:div>
    <w:div w:id="1377924674">
      <w:bodyDiv w:val="1"/>
      <w:marLeft w:val="0"/>
      <w:marRight w:val="0"/>
      <w:marTop w:val="0"/>
      <w:marBottom w:val="0"/>
      <w:divBdr>
        <w:top w:val="none" w:sz="0" w:space="0" w:color="auto"/>
        <w:left w:val="none" w:sz="0" w:space="0" w:color="auto"/>
        <w:bottom w:val="none" w:sz="0" w:space="0" w:color="auto"/>
        <w:right w:val="none" w:sz="0" w:space="0" w:color="auto"/>
      </w:divBdr>
    </w:div>
    <w:div w:id="1882279060">
      <w:bodyDiv w:val="1"/>
      <w:marLeft w:val="0"/>
      <w:marRight w:val="0"/>
      <w:marTop w:val="0"/>
      <w:marBottom w:val="0"/>
      <w:divBdr>
        <w:top w:val="none" w:sz="0" w:space="0" w:color="auto"/>
        <w:left w:val="none" w:sz="0" w:space="0" w:color="auto"/>
        <w:bottom w:val="none" w:sz="0" w:space="0" w:color="auto"/>
        <w:right w:val="none" w:sz="0" w:space="0" w:color="auto"/>
      </w:divBdr>
    </w:div>
    <w:div w:id="2030183396">
      <w:bodyDiv w:val="1"/>
      <w:marLeft w:val="0"/>
      <w:marRight w:val="0"/>
      <w:marTop w:val="0"/>
      <w:marBottom w:val="0"/>
      <w:divBdr>
        <w:top w:val="none" w:sz="0" w:space="0" w:color="auto"/>
        <w:left w:val="none" w:sz="0" w:space="0" w:color="auto"/>
        <w:bottom w:val="none" w:sz="0" w:space="0" w:color="auto"/>
        <w:right w:val="none" w:sz="0" w:space="0" w:color="auto"/>
      </w:divBdr>
      <w:divsChild>
        <w:div w:id="1830051586">
          <w:marLeft w:val="0"/>
          <w:marRight w:val="0"/>
          <w:marTop w:val="0"/>
          <w:marBottom w:val="0"/>
          <w:divBdr>
            <w:top w:val="none" w:sz="0" w:space="0" w:color="auto"/>
            <w:left w:val="none" w:sz="0" w:space="0" w:color="auto"/>
            <w:bottom w:val="none" w:sz="0" w:space="0" w:color="auto"/>
            <w:right w:val="none" w:sz="0" w:space="0" w:color="auto"/>
          </w:divBdr>
        </w:div>
        <w:div w:id="1733498925">
          <w:marLeft w:val="0"/>
          <w:marRight w:val="0"/>
          <w:marTop w:val="0"/>
          <w:marBottom w:val="0"/>
          <w:divBdr>
            <w:top w:val="none" w:sz="0" w:space="0" w:color="auto"/>
            <w:left w:val="none" w:sz="0" w:space="0" w:color="auto"/>
            <w:bottom w:val="none" w:sz="0" w:space="0" w:color="auto"/>
            <w:right w:val="none" w:sz="0" w:space="0" w:color="auto"/>
          </w:divBdr>
        </w:div>
      </w:divsChild>
    </w:div>
    <w:div w:id="20809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89355/1cfcdcc5936cbfc3ea52f964201a1bb6002be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89355/1cfcdcc5936cbfc3ea52f964201a1bb6002be3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6332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2024-10-23T09:12:00Z</cp:lastPrinted>
  <dcterms:created xsi:type="dcterms:W3CDTF">2024-10-31T14:47:00Z</dcterms:created>
  <dcterms:modified xsi:type="dcterms:W3CDTF">2024-10-31T14:47:00Z</dcterms:modified>
</cp:coreProperties>
</file>